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86D" w:rsidRDefault="0016386D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bookmarkStart w:id="0" w:name="_page_3_0"/>
      <w:r>
        <w:rPr>
          <w:noProof/>
        </w:rPr>
        <w:drawing>
          <wp:anchor distT="0" distB="0" distL="114300" distR="114300" simplePos="0" relativeHeight="251686912" behindDoc="1" locked="0" layoutInCell="1" allowOverlap="1" wp14:anchorId="1D3FDBD1" wp14:editId="35E0A3EA">
            <wp:simplePos x="0" y="0"/>
            <wp:positionH relativeFrom="column">
              <wp:posOffset>-416560</wp:posOffset>
            </wp:positionH>
            <wp:positionV relativeFrom="paragraph">
              <wp:posOffset>-80645</wp:posOffset>
            </wp:positionV>
            <wp:extent cx="7267575" cy="1395349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7267575" cy="139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346" w:rsidRDefault="009E534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D94576" w:rsidRDefault="00D9457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D94576" w:rsidRDefault="00D94576" w:rsidP="00D94576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D94576" w:rsidRDefault="00D94576" w:rsidP="00D945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B340ED" w:rsidRDefault="00B340ED" w:rsidP="00B340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1" w:name="_GoBack"/>
      <w:r w:rsidRPr="00B340E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 1 апреля 2024 года Отделение СФР по Томской области на 7,5% проиндексировало социальные пенсии более 27,9 тысячи жителей региона</w:t>
      </w:r>
      <w:r w:rsidR="00577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1"/>
    <w:p w:rsidR="00B340ED" w:rsidRPr="00B340ED" w:rsidRDefault="00577701" w:rsidP="00B340ED">
      <w:p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B340ED" w:rsidRPr="00B340ED">
        <w:rPr>
          <w:rFonts w:ascii="Times New Roman" w:hAnsi="Times New Roman" w:cs="Times New Roman"/>
          <w:color w:val="000000"/>
          <w:sz w:val="28"/>
          <w:szCs w:val="28"/>
        </w:rPr>
        <w:t>C 1 апреля Отделение СФР по Томской области проиндексировало социальные пенсии 27 970 жителям региона на 7,5%. Размер индексации рассчитывается исходя из темпов роста прожиточного минимума пенсионера за прошедший год.</w:t>
      </w:r>
    </w:p>
    <w:p w:rsidR="00B340ED" w:rsidRPr="00B340ED" w:rsidRDefault="00B340ED" w:rsidP="00B340ED">
      <w:p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Отметим, что социальная пенсия не зависит от страхового стажа и пенсионных коэффициентов и бывает по старости, по инвалидности и по случаю потери кормильца.</w:t>
      </w:r>
    </w:p>
    <w:p w:rsidR="00B340ED" w:rsidRPr="00B340ED" w:rsidRDefault="00B340ED" w:rsidP="00B340ED">
      <w:p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                Одновременно с социальными пенсиями на 7,5% были проиндексированы пенсии по государственному пенсионному обеспечению:</w:t>
      </w:r>
    </w:p>
    <w:p w:rsidR="00B340ED" w:rsidRPr="00B340ED" w:rsidRDefault="00B340ED" w:rsidP="00B340E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участников Великой Отечественной войны;</w:t>
      </w:r>
    </w:p>
    <w:p w:rsidR="00B340ED" w:rsidRPr="00B340ED" w:rsidRDefault="00B340ED" w:rsidP="00B340E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граждан, награжденных знаками «Житель блокадного Ленинграда», «Житель осажденного Севастополя», «Житель осажденного Сталинграда»;</w:t>
      </w:r>
    </w:p>
    <w:p w:rsidR="00B340ED" w:rsidRPr="00B340ED" w:rsidRDefault="00B340ED" w:rsidP="00B340E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военнослужащих, проходивших военную службу по призыву, и членов их семей;</w:t>
      </w:r>
    </w:p>
    <w:p w:rsidR="00B340ED" w:rsidRPr="00B340ED" w:rsidRDefault="00B340ED" w:rsidP="00B340E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граждан, пребывавших в добровольческих формированиях.</w:t>
      </w:r>
    </w:p>
    <w:p w:rsidR="00B340ED" w:rsidRPr="00B340ED" w:rsidRDefault="00B340ED" w:rsidP="00B340E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граждан, пострадавших в результате радиационных или техногенных катастроф, и членов их семей;</w:t>
      </w:r>
    </w:p>
    <w:p w:rsidR="00B340ED" w:rsidRPr="00B340ED" w:rsidRDefault="00B340ED" w:rsidP="00B340E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космонавтов, граждан из числа работников летно-испытательного состава;</w:t>
      </w:r>
    </w:p>
    <w:p w:rsidR="00B340ED" w:rsidRPr="00B340ED" w:rsidRDefault="00B340ED" w:rsidP="00B340E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федеральным государственным гражданским служащим.</w:t>
      </w:r>
    </w:p>
    <w:p w:rsidR="00B340ED" w:rsidRPr="00B340ED" w:rsidRDefault="00B340ED" w:rsidP="00B340ED">
      <w:p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 Для удобства граждан индексация была проведена автоматически, обращаться в Отделение СФР по Томской области жителям не пришлось.</w:t>
      </w:r>
    </w:p>
    <w:p w:rsidR="00B340ED" w:rsidRPr="00B340ED" w:rsidRDefault="00B340ED" w:rsidP="00B340ED">
      <w:p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Напомним, что с 1 января 2024 года были проиндексированы на 7,5% страховые пенсии неработающих пенсионеров. Увеличились также фиксированная выплата и стоимость индивидуального пенсионного коэффициента, которые входят в итоговую сумму страховой пенсии. Индексация коснулась свыше 255,5 тысяч получателей пенсии по старости в Томской области.</w:t>
      </w:r>
    </w:p>
    <w:p w:rsidR="000D2B39" w:rsidRPr="00B340ED" w:rsidRDefault="00B340ED" w:rsidP="00B340ED">
      <w:pPr>
        <w:spacing w:before="100" w:beforeAutospacing="1" w:after="100" w:afterAutospacing="1" w:line="240" w:lineRule="auto"/>
        <w:jc w:val="center"/>
        <w:rPr>
          <w:b/>
          <w:sz w:val="28"/>
          <w:szCs w:val="28"/>
        </w:rPr>
      </w:pPr>
      <w:r w:rsidRPr="00B340ED">
        <w:rPr>
          <w:rFonts w:ascii="Times New Roman" w:hAnsi="Times New Roman" w:cs="Times New Roman"/>
          <w:color w:val="000000"/>
          <w:sz w:val="28"/>
          <w:szCs w:val="28"/>
        </w:rPr>
        <w:t>За более подробной информацией вы всегда можете обратиться по телефону единого контакт-центра: 8-800-100-00-01 (звонок бесплатный, режим работы: понедельник – четверг с 8:00 до 17:00, в пятницу с 8:00 до 15:45), а также написать свое обращение в группу в социальной сети «</w:t>
      </w:r>
      <w:proofErr w:type="spellStart"/>
      <w:r w:rsidRPr="00B340ED">
        <w:rPr>
          <w:rFonts w:ascii="Times New Roman" w:hAnsi="Times New Roman" w:cs="Times New Roman"/>
          <w:color w:val="000000"/>
          <w:sz w:val="28"/>
          <w:szCs w:val="28"/>
        </w:rPr>
        <w:t>ВКонтакте</w:t>
      </w:r>
      <w:proofErr w:type="spellEnd"/>
      <w:r w:rsidRPr="00B340ED">
        <w:rPr>
          <w:rFonts w:ascii="Times New Roman" w:hAnsi="Times New Roman" w:cs="Times New Roman"/>
          <w:color w:val="000000"/>
          <w:sz w:val="28"/>
          <w:szCs w:val="28"/>
        </w:rPr>
        <w:t>» </w:t>
      </w:r>
      <w:hyperlink r:id="rId6" w:history="1">
        <w:r w:rsidRPr="00B340ED">
          <w:rPr>
            <w:rFonts w:ascii="Times New Roman" w:hAnsi="Times New Roman" w:cs="Times New Roman"/>
            <w:color w:val="0000FF"/>
            <w:sz w:val="28"/>
            <w:szCs w:val="28"/>
          </w:rPr>
          <w:t>https://vk.com/sfr.tomskayoblast</w:t>
        </w:r>
      </w:hyperlink>
      <w:r w:rsidRPr="00B340ED">
        <w:rPr>
          <w:rFonts w:ascii="Times New Roman" w:hAnsi="Times New Roman" w:cs="Times New Roman"/>
          <w:color w:val="000000"/>
          <w:sz w:val="28"/>
          <w:szCs w:val="28"/>
        </w:rPr>
        <w:t xml:space="preserve">  </w:t>
      </w: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Клиентская служба (на правах отдела) в </w:t>
      </w:r>
      <w:proofErr w:type="spellStart"/>
      <w:r w:rsidRPr="002F5E18">
        <w:rPr>
          <w:b/>
          <w:sz w:val="20"/>
          <w:szCs w:val="20"/>
        </w:rPr>
        <w:t>Асиновском</w:t>
      </w:r>
      <w:proofErr w:type="spellEnd"/>
      <w:r w:rsidRPr="002F5E18">
        <w:rPr>
          <w:b/>
          <w:sz w:val="20"/>
          <w:szCs w:val="20"/>
        </w:rPr>
        <w:t xml:space="preserve"> районе                                   </w:t>
      </w: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  Управления организации работы клиентских служб ОСФР по Томской области</w:t>
      </w:r>
    </w:p>
    <w:p w:rsidR="00BD751D" w:rsidRPr="002F5E18" w:rsidRDefault="009E5346" w:rsidP="009E5346">
      <w:pPr>
        <w:pStyle w:val="a5"/>
        <w:jc w:val="right"/>
        <w:rPr>
          <w:b/>
          <w:bCs/>
          <w:kern w:val="36"/>
          <w:sz w:val="20"/>
          <w:szCs w:val="20"/>
        </w:rPr>
      </w:pPr>
      <w:r w:rsidRPr="002F5E18">
        <w:rPr>
          <w:b/>
          <w:sz w:val="20"/>
          <w:szCs w:val="20"/>
        </w:rPr>
        <w:t xml:space="preserve"> Тел.: (38241) 2-47-85</w:t>
      </w:r>
      <w:bookmarkEnd w:id="0"/>
    </w:p>
    <w:sectPr w:rsidR="00BD751D" w:rsidRPr="002F5E18">
      <w:type w:val="continuous"/>
      <w:pgSz w:w="11906" w:h="16838"/>
      <w:pgMar w:top="397" w:right="422" w:bottom="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3EE5D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24"/>
    <w:rsid w:val="000848AE"/>
    <w:rsid w:val="000D2B39"/>
    <w:rsid w:val="0016386D"/>
    <w:rsid w:val="001C4E81"/>
    <w:rsid w:val="002F5E18"/>
    <w:rsid w:val="00361D24"/>
    <w:rsid w:val="0051045F"/>
    <w:rsid w:val="00542DD5"/>
    <w:rsid w:val="00577701"/>
    <w:rsid w:val="007B36B0"/>
    <w:rsid w:val="00960797"/>
    <w:rsid w:val="009E5346"/>
    <w:rsid w:val="00AD4231"/>
    <w:rsid w:val="00B304E6"/>
    <w:rsid w:val="00B340ED"/>
    <w:rsid w:val="00BD751D"/>
    <w:rsid w:val="00D94576"/>
    <w:rsid w:val="00DE7C95"/>
    <w:rsid w:val="00E9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32BEA-FAE8-4F0E-A5B7-DF95A71F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4576"/>
    <w:rPr>
      <w:b/>
      <w:bCs/>
    </w:rPr>
  </w:style>
  <w:style w:type="paragraph" w:styleId="a5">
    <w:name w:val="No Spacing"/>
    <w:uiPriority w:val="1"/>
    <w:qFormat/>
    <w:rsid w:val="009E53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basedOn w:val="a0"/>
    <w:uiPriority w:val="20"/>
    <w:qFormat/>
    <w:rsid w:val="007B36B0"/>
    <w:rPr>
      <w:i/>
      <w:iCs/>
    </w:rPr>
  </w:style>
  <w:style w:type="character" w:styleId="a7">
    <w:name w:val="Hyperlink"/>
    <w:basedOn w:val="a0"/>
    <w:uiPriority w:val="99"/>
    <w:semiHidden/>
    <w:unhideWhenUsed/>
    <w:rsid w:val="000D2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3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fr.tomskayoblas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Емельянова Елена Анатольевна</dc:creator>
  <cp:lastModifiedBy>Половникова Лариса Витальевна</cp:lastModifiedBy>
  <cp:revision>2</cp:revision>
  <dcterms:created xsi:type="dcterms:W3CDTF">2024-04-04T01:29:00Z</dcterms:created>
  <dcterms:modified xsi:type="dcterms:W3CDTF">2024-04-04T01:29:00Z</dcterms:modified>
</cp:coreProperties>
</file>