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F4D3E" w:rsidRPr="00D60C17" w:rsidRDefault="00DF4D3E" w:rsidP="00D60C17">
      <w:pPr>
        <w:pStyle w:val="1"/>
        <w:jc w:val="center"/>
        <w:rPr>
          <w:i/>
          <w:u w:val="single"/>
        </w:rPr>
      </w:pPr>
      <w:r w:rsidRPr="00D60C17">
        <w:rPr>
          <w:i/>
          <w:u w:val="single"/>
        </w:rPr>
        <w:t>Общие вопросы по двум новым выплатам для семей с детьми от 8 до 17 лет с 1 июля 2021 года</w:t>
      </w:r>
    </w:p>
    <w:p w:rsidR="00DF4D3E" w:rsidRDefault="00DF4D3E" w:rsidP="00DF4D3E"/>
    <w:p w:rsidR="00DF4D3E" w:rsidRDefault="00D60C17" w:rsidP="00DF4D3E">
      <w:r>
        <w:t>2</w:t>
      </w:r>
      <w:r w:rsidR="00FB2D8B">
        <w:t>8</w:t>
      </w:r>
      <w:r>
        <w:t>.06.2021</w:t>
      </w:r>
    </w:p>
    <w:p w:rsidR="00DF4D3E" w:rsidRDefault="00DF4D3E" w:rsidP="00D60C17">
      <w:pPr>
        <w:pStyle w:val="af"/>
        <w:ind w:firstLine="360"/>
        <w:jc w:val="both"/>
      </w:pPr>
      <w:r>
        <w:t>С 1 июля начнется прием заявлений на выплату следующих пособий:</w:t>
      </w:r>
    </w:p>
    <w:p w:rsidR="00DF4D3E" w:rsidRDefault="00DF4D3E" w:rsidP="00D60C17">
      <w:pPr>
        <w:numPr>
          <w:ilvl w:val="0"/>
          <w:numId w:val="33"/>
        </w:numPr>
        <w:suppressAutoHyphens w:val="0"/>
        <w:spacing w:before="100" w:beforeAutospacing="1" w:after="100" w:afterAutospacing="1"/>
        <w:jc w:val="both"/>
      </w:pPr>
      <w:r>
        <w:t>для будущих мам, вставших на учет в ранние сроки беременности, и находящихся в трудной финансовой ситуации</w:t>
      </w:r>
    </w:p>
    <w:p w:rsidR="00DF4D3E" w:rsidRDefault="00DF4D3E" w:rsidP="00D60C17">
      <w:pPr>
        <w:numPr>
          <w:ilvl w:val="0"/>
          <w:numId w:val="33"/>
        </w:numPr>
        <w:suppressAutoHyphens w:val="0"/>
        <w:spacing w:before="100" w:beforeAutospacing="1" w:after="100" w:afterAutospacing="1"/>
        <w:jc w:val="both"/>
      </w:pPr>
      <w:r>
        <w:t>для одиноких родителей, которые воспитывают детей в возрасте от 8 до 17 лет.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 w:rsidR="00D60C17">
        <w:t>                </w:t>
      </w:r>
      <w:r>
        <w:t xml:space="preserve">Размер пособия для будущих мам составит половину регионального прожиточного минимума взрослого человека (в Томской области - </w:t>
      </w:r>
      <w:r>
        <w:rPr>
          <w:rStyle w:val="a6"/>
        </w:rPr>
        <w:t>6 479,5 рублей</w:t>
      </w:r>
      <w:r>
        <w:t xml:space="preserve"> в месяц), а пособие для одиноких родителей составит половину регионального прожиточного минимума на ребенка (</w:t>
      </w:r>
      <w:r>
        <w:rPr>
          <w:rStyle w:val="a6"/>
        </w:rPr>
        <w:t>6 463,5 рублей</w:t>
      </w:r>
      <w:r>
        <w:t xml:space="preserve"> в месяц).</w:t>
      </w:r>
    </w:p>
    <w:p w:rsidR="00DF4D3E" w:rsidRDefault="00DF4D3E" w:rsidP="00D60C17">
      <w:pPr>
        <w:pStyle w:val="af"/>
        <w:ind w:firstLine="360"/>
        <w:jc w:val="both"/>
      </w:pPr>
      <w:r>
        <w:rPr>
          <w:rStyle w:val="a6"/>
        </w:rPr>
        <w:t>Общие вопросы</w:t>
      </w:r>
    </w:p>
    <w:p w:rsidR="00DF4D3E" w:rsidRPr="00D60C17" w:rsidRDefault="00DF4D3E" w:rsidP="00D60C17">
      <w:pPr>
        <w:pStyle w:val="af"/>
        <w:ind w:firstLine="360"/>
        <w:jc w:val="both"/>
        <w:rPr>
          <w:u w:val="single"/>
        </w:rPr>
      </w:pPr>
      <w:r w:rsidRPr="00D60C17">
        <w:rPr>
          <w:u w:val="single"/>
        </w:rPr>
        <w:t>Куда обращаться за пособием?</w:t>
      </w:r>
    </w:p>
    <w:p w:rsidR="00DF4D3E" w:rsidRDefault="00DF4D3E" w:rsidP="00D60C17">
      <w:pPr>
        <w:pStyle w:val="af"/>
        <w:ind w:firstLine="360"/>
        <w:jc w:val="both"/>
      </w:pPr>
      <w:r>
        <w:t xml:space="preserve">Можно обратиться дистанционно </w:t>
      </w:r>
      <w:proofErr w:type="spellStart"/>
      <w:r>
        <w:t>онлайн</w:t>
      </w:r>
      <w:proofErr w:type="spellEnd"/>
      <w:r>
        <w:t xml:space="preserve"> – через портал </w:t>
      </w:r>
      <w:proofErr w:type="spellStart"/>
      <w:r>
        <w:t>Госуслуги</w:t>
      </w:r>
      <w:proofErr w:type="spellEnd"/>
      <w:r>
        <w:t>. Также можно подать заявление в территориальных отделениях Пенсионного фонда.</w:t>
      </w:r>
    </w:p>
    <w:p w:rsidR="00DF4D3E" w:rsidRPr="00D60C17" w:rsidRDefault="00DF4D3E" w:rsidP="00D60C17">
      <w:pPr>
        <w:pStyle w:val="af"/>
        <w:ind w:firstLine="360"/>
        <w:jc w:val="both"/>
        <w:rPr>
          <w:u w:val="single"/>
        </w:rPr>
      </w:pPr>
      <w:r w:rsidRPr="00D60C17">
        <w:rPr>
          <w:u w:val="single"/>
        </w:rPr>
        <w:t>Что такое комплексная оценка нуждаемости?</w:t>
      </w:r>
    </w:p>
    <w:p w:rsidR="00DF4D3E" w:rsidRDefault="00DF4D3E" w:rsidP="00D60C17">
      <w:pPr>
        <w:pStyle w:val="af"/>
        <w:ind w:firstLine="360"/>
        <w:jc w:val="both"/>
      </w:pPr>
      <w:r>
        <w:t>Комплексная оценка нуждаемости подразумевает оценку доходов и имущества семьи, а также применение правила нулевого дохода.</w:t>
      </w:r>
    </w:p>
    <w:p w:rsidR="00DF4D3E" w:rsidRDefault="00DF4D3E" w:rsidP="00D60C17">
      <w:pPr>
        <w:pStyle w:val="af"/>
        <w:ind w:firstLine="360"/>
        <w:jc w:val="both"/>
      </w:pPr>
      <w:r>
        <w:t>В частности, выплату могут получать семьи со среднедушевым доходом ниже прожиточного минимума, обладающие следующим имуществом и сбережениями: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 xml:space="preserve">одной квартирой любой площади или несколькими квартирами, если площадь на каждого члена семьи – менее 24 кв. м. При этом, если помещение было признано непригодным для проживания, оно не учитывается при оценке нуждаемости. </w:t>
      </w:r>
      <w:proofErr w:type="gramStart"/>
      <w:r>
        <w:t>Также не учитываются жилые помещения, занимаемые заявителем и (или) членом его семьи, страдающим тяжёлой формой хронического заболевания, при которой невозможно совместное проживание граждан в одном помещении, и жилые помещения, предоставленные многодетной семье в качестве меры поддержки.</w:t>
      </w:r>
      <w:proofErr w:type="gramEnd"/>
      <w:r>
        <w:t xml:space="preserve"> Доли семьи, составляющие 1/3 и менее от общей площади, не учитываются;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одним домом любой площади или несколькими домами, если площадь на каждого члена семьи – меньше 40 кв. м. При этом, если помещение было признано непригодным для проживания, оно не учитывается при оценке нуждаемости. Также не учитываются жилые помещения, занимаемые заявителем и (или) членом его семьи, страдающим тяжёлой формой хронического заболевания, при которой невозможно совместное проживание граждан в одном помещении. Доли семьи, составляющие 1/3 и менее от общей площади, не учитываются;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одной дачей;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lastRenderedPageBreak/>
        <w:t xml:space="preserve">одним гаражом, </w:t>
      </w:r>
      <w:proofErr w:type="spellStart"/>
      <w:r>
        <w:t>машино-местом</w:t>
      </w:r>
      <w:proofErr w:type="spellEnd"/>
      <w:r>
        <w:t xml:space="preserve"> или двумя, если семья многодетная, в семье есть гражданин с инвалидностью или семье в рамках мер социальной поддержки выдано автотранспортное или </w:t>
      </w:r>
      <w:proofErr w:type="spellStart"/>
      <w:r>
        <w:t>мототранспортное</w:t>
      </w:r>
      <w:proofErr w:type="spellEnd"/>
      <w:r>
        <w:t xml:space="preserve"> средство;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земельными участками общей площадью не более 0,25 га в городских поселениях или не более 1 га, если участки расположены в сельских поселениях или межселенных территориях. При этом земельные участки, предоставленные в качестве меры поддержки многодетным, а также дальневосточный гектар не учитываются при расчете нуждаемости;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одним нежилым помещением. Хозяйственные постройки, расположенные на земельных участках, предназначенных для индивидуального жилищного строительства, личного подсобного хозяйства или на садовых земельных участках, а также имущество, являющееся общим имуществом в многоквартирном доме (подвалы) или имуществом общего пользования садоводческого или огороднического некоммерческого товарищества, не учитываются;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одним автомобилем (за исключением автомобилей младше 5 лет с двигателем мощнее 250 л.</w:t>
      </w:r>
      <w:proofErr w:type="gramStart"/>
      <w:r>
        <w:t>с</w:t>
      </w:r>
      <w:proofErr w:type="gramEnd"/>
      <w:r>
        <w:t xml:space="preserve">., </w:t>
      </w:r>
      <w:proofErr w:type="gramStart"/>
      <w:r>
        <w:t>за</w:t>
      </w:r>
      <w:proofErr w:type="gramEnd"/>
      <w:r>
        <w:t xml:space="preserve"> исключением семей с 4 и более детьми, если в автомобиле более 5 мест), или двумя, если семья многодетная, член семьи имеет инвалидность или автомобиль получен в качестве меры социальной поддержки;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одним мотоциклом, или двумя, если семья многодетная, член семьи имеет инвалидность или мотоцикл получен в качестве меры поддержки;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одной единицей самоходной техники младше 5 лет (это тракторы, комбайны и другие предметы сельскохозяйственной техники). Самоходные транспортные средства старше 5 лет при оценке нуждаемости не учитываются вне зависимости от их количества;</w:t>
      </w:r>
    </w:p>
    <w:p w:rsidR="00DF4D3E" w:rsidRDefault="00DF4D3E" w:rsidP="00D60C17">
      <w:pPr>
        <w:numPr>
          <w:ilvl w:val="0"/>
          <w:numId w:val="34"/>
        </w:numPr>
        <w:suppressAutoHyphens w:val="0"/>
        <w:spacing w:before="100" w:beforeAutospacing="1" w:after="100" w:afterAutospacing="1"/>
        <w:jc w:val="both"/>
      </w:pPr>
      <w:r>
        <w:t>одним катером или моторной лодкой младше 5 лет. Маломерные суда старше 5 лет при оценке нуждаемости не учитываются вне зависимости от их количества;</w:t>
      </w:r>
      <w:r>
        <w:br/>
        <w:t>сбережениями, годовой доход от процентов, по которым не превышает величину прожиточного минимума на душу населения в целом по России (т.е. в среднем это вклады на сумму порядка 250 тыс. рублей).</w:t>
      </w:r>
      <w:r>
        <w:br/>
        <w:t>«Правило нулевого дохода» предполагает, что пособие назначается при наличии у взрослых членов семьи заработка (стипендии, доходов от трудовой или предпринимательской деятельности или пенсии) или отсутствие доходов обосновано объективными жизненными обстоятельствами.</w:t>
      </w:r>
    </w:p>
    <w:p w:rsidR="00DF4D3E" w:rsidRDefault="00DF4D3E" w:rsidP="00D60C17">
      <w:pPr>
        <w:pStyle w:val="af"/>
        <w:ind w:firstLine="360"/>
        <w:jc w:val="both"/>
      </w:pPr>
      <w:r>
        <w:t>Основаниями для отсутствия доходов могут быть: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уход за детьми, в случае если это один из родителей в многодетной семье (т.е. у одного из родителей в многодетной семье на протяжении всех 12 месяцев может быть нулевой доход, а у второго родителя должны быть поступления от трудовой, предпринимательской, творческой деятельности или пенсии, стипендия);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уход за ребёнком, если речь идёт о единственном родителе (т.е. у ребёнка официально есть только один родитель, второй родитель умер, не указан в свидетельстве о рождении или пропал без вести);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уход за ребёнком до достижения им возраста трёх лет;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уход за гражданином с инвалидностью или пожилым человеком старше 80 лет;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обучение на очной форме для членов семьи моложе 23 лет;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срочная служба в армии и 3-месячный период после демобилизации;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прохождение лечения длительностью от 3 месяцев и более;</w:t>
      </w:r>
    </w:p>
    <w:p w:rsidR="00DF4D3E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безработица (необходимо подтверждение официальной регистрации в качестве безработного в центре занятости, учитывается до 6 месяцев нахождения в таком статусе);</w:t>
      </w:r>
    </w:p>
    <w:p w:rsidR="00B958F3" w:rsidRDefault="00DF4D3E" w:rsidP="00D60C17">
      <w:pPr>
        <w:numPr>
          <w:ilvl w:val="0"/>
          <w:numId w:val="35"/>
        </w:numPr>
        <w:suppressAutoHyphens w:val="0"/>
        <w:spacing w:before="100" w:beforeAutospacing="1" w:after="100" w:afterAutospacing="1"/>
        <w:jc w:val="both"/>
      </w:pPr>
      <w:r>
        <w:t>отбывание наказания и 3-месячный период после освобождения из мест лишения свободы.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DF4D3E" w:rsidRPr="00B958F3" w:rsidRDefault="00DF4D3E" w:rsidP="00B958F3">
      <w:pPr>
        <w:suppressAutoHyphens w:val="0"/>
        <w:spacing w:before="100" w:beforeAutospacing="1" w:after="100" w:afterAutospacing="1"/>
        <w:ind w:left="720"/>
        <w:jc w:val="both"/>
        <w:rPr>
          <w:u w:val="single"/>
        </w:rPr>
      </w:pPr>
      <w:r w:rsidRPr="00B958F3">
        <w:rPr>
          <w:u w:val="single"/>
        </w:rPr>
        <w:t>    Что делать, если при заполнении заявления допущена ошибка?</w:t>
      </w:r>
    </w:p>
    <w:p w:rsidR="00DF4D3E" w:rsidRDefault="00DF4D3E" w:rsidP="00D60C17">
      <w:pPr>
        <w:pStyle w:val="af"/>
        <w:ind w:firstLine="360"/>
        <w:jc w:val="both"/>
      </w:pPr>
      <w:r>
        <w:t>Заявление можно доработать. Если допущена ошибка при заполнении, Пенсионный фонд, не вынося отказа, вернет его на доработку. Внести изменения необходимо в течение 5 рабочих дней.</w:t>
      </w:r>
    </w:p>
    <w:p w:rsidR="00DF4D3E" w:rsidRPr="00D60C17" w:rsidRDefault="00DF4D3E" w:rsidP="00D60C17">
      <w:pPr>
        <w:pStyle w:val="af"/>
        <w:ind w:firstLine="360"/>
        <w:jc w:val="both"/>
        <w:rPr>
          <w:u w:val="single"/>
        </w:rPr>
      </w:pPr>
      <w:r w:rsidRPr="00D60C17">
        <w:rPr>
          <w:u w:val="single"/>
        </w:rPr>
        <w:t>Какие платежные реквизиты необходимо указывать при подаче заявления?</w:t>
      </w:r>
    </w:p>
    <w:p w:rsidR="00DF4D3E" w:rsidRDefault="00DF4D3E" w:rsidP="00D60C17">
      <w:pPr>
        <w:pStyle w:val="af"/>
        <w:ind w:firstLine="360"/>
        <w:jc w:val="both"/>
      </w:pPr>
      <w:r>
        <w:lastRenderedPageBreak/>
        <w:t>В заявлении необходимо указать данные именно банковского счета заявителя: наименование кредитной организации или БИК кредитной организации, корреспондентский счет, номер счета заявителя. Выплата не может осуществляться на счет другого лица.</w:t>
      </w:r>
    </w:p>
    <w:p w:rsidR="00DF4D3E" w:rsidRPr="00D60C17" w:rsidRDefault="00DF4D3E" w:rsidP="00D60C17">
      <w:pPr>
        <w:pStyle w:val="af"/>
        <w:ind w:firstLine="360"/>
        <w:jc w:val="both"/>
        <w:rPr>
          <w:u w:val="single"/>
        </w:rPr>
      </w:pPr>
      <w:r w:rsidRPr="00D60C17">
        <w:rPr>
          <w:u w:val="single"/>
        </w:rPr>
        <w:t>Как можно узнать, назначена выплата или нет?</w:t>
      </w:r>
    </w:p>
    <w:p w:rsidR="00DF4D3E" w:rsidRDefault="00DF4D3E" w:rsidP="00D60C17">
      <w:pPr>
        <w:pStyle w:val="af"/>
        <w:ind w:firstLine="360"/>
        <w:jc w:val="both"/>
      </w:pPr>
      <w:r>
        <w:t xml:space="preserve">При подаче заявления через портал </w:t>
      </w:r>
      <w:proofErr w:type="spellStart"/>
      <w:r>
        <w:t>Госуслуг</w:t>
      </w:r>
      <w:proofErr w:type="spellEnd"/>
      <w:r>
        <w:t xml:space="preserve"> уведомление о статусе его рассмотрения появится там же.</w:t>
      </w:r>
    </w:p>
    <w:p w:rsidR="00DF4D3E" w:rsidRDefault="00DF4D3E" w:rsidP="00D60C17">
      <w:pPr>
        <w:pStyle w:val="af"/>
        <w:ind w:firstLine="360"/>
        <w:jc w:val="both"/>
      </w:pPr>
      <w:r>
        <w:t>Если же заявление было подано лично в клиентской службе Пенсионного фонда России, в случае положительного решения средства будут перечислены в установленный законом срок без дополнительного уведомления заявителя. Если оснований для назначения выплаты нет, то в течение 1 рабочего дня со дня принятия такого решения, заявителю направляется уведомление.</w:t>
      </w:r>
    </w:p>
    <w:p w:rsidR="003F4C3B" w:rsidRDefault="003F4C3B" w:rsidP="00D60C17">
      <w:pPr>
        <w:pStyle w:val="af"/>
        <w:ind w:firstLine="708"/>
        <w:contextualSpacing/>
        <w:jc w:val="both"/>
      </w:pPr>
    </w:p>
    <w:p w:rsidR="006922F1" w:rsidRPr="006922F1" w:rsidRDefault="006922F1" w:rsidP="00D60C17">
      <w:pPr>
        <w:pStyle w:val="af"/>
        <w:ind w:firstLine="360"/>
        <w:contextualSpacing/>
        <w:jc w:val="both"/>
      </w:pPr>
      <w:r w:rsidRPr="006922F1">
        <w:t xml:space="preserve">Со всеми вопросами можно обращаться на «горячую линию» Отделения ПФР по Томской области  </w:t>
      </w:r>
      <w:r w:rsidRPr="006922F1">
        <w:rPr>
          <w:b/>
        </w:rPr>
        <w:t>8-800-600-04-17</w:t>
      </w:r>
      <w:r w:rsidRPr="006922F1">
        <w:t xml:space="preserve"> (звонок бесплатный).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E69F0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958F3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21A2"/>
    <w:rsid w:val="00D579A7"/>
    <w:rsid w:val="00D60C1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2D8B"/>
    <w:rsid w:val="00FB73FC"/>
    <w:rsid w:val="00FC0437"/>
    <w:rsid w:val="00FC40DE"/>
    <w:rsid w:val="00FC549C"/>
    <w:rsid w:val="00FD57E2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48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1077</Words>
  <Characters>6140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7203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2021-06-28T01:33:00Z</dcterms:created>
  <dcterms:modified xsi:type="dcterms:W3CDTF">2021-06-30T03:31:00Z</dcterms:modified>
</cp:coreProperties>
</file>